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Default Extension="wmf" ContentType="image/x-wmf"/>
  <Override PartName="/word/styles.xml" ContentType="application/vnd.openxmlformats-officedocument.wordprocessingml.styles+xml"/>
  <Override PartName="/word/numbering.xml" ContentType="application/vnd.openxmlformats-officedocument.wordprocessingml.numbering+xml"/>
  <Default Extension="jpg" ContentType="image/jpeg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b/>
          <w:color w:val="344E41"/>
          <w:spacing w:val="0"/>
          <w:position w:val="0"/>
          <w:sz w:val="18"/>
          <w:shd w:fill="auto" w:val="clear"/>
        </w:rPr>
      </w:pPr>
      <w:r>
        <w:rPr>
          <w:rFonts w:ascii="Aptos" w:hAnsi="Aptos" w:cs="Aptos" w:eastAsia="Aptos"/>
          <w:b/>
          <w:color w:val="344E41"/>
          <w:spacing w:val="0"/>
          <w:position w:val="0"/>
          <w:sz w:val="18"/>
          <w:shd w:fill="auto" w:val="clear"/>
        </w:rPr>
        <w:t xml:space="preserve">UNIDADE DIDÁCTICA  ·  BACHARELATO</w:t>
      </w:r>
    </w:p>
    <w:p>
      <w:pPr>
        <w:keepNext w:val="true"/>
        <w:spacing w:before="0" w:after="160" w:line="240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5"/>
          <w:position w:val="0"/>
          <w:sz w:val="60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5"/>
          <w:position w:val="0"/>
          <w:sz w:val="60"/>
          <w:shd w:fill="auto" w:val="clear"/>
        </w:rPr>
        <w:t xml:space="preserve">A CASA</w:t>
        <w:br/>
        <w:t xml:space="preserve">DE PARADA</w:t>
      </w:r>
    </w:p>
    <w:p>
      <w:pPr>
        <w:keepNext w:val="true"/>
        <w:spacing w:before="0" w:after="160" w:line="276"/>
        <w:ind w:right="0" w:left="0" w:firstLine="0"/>
        <w:jc w:val="left"/>
        <w:rPr>
          <w:rFonts w:ascii="Calibri" w:hAnsi="Calibri" w:cs="Calibri" w:eastAsia="Calibri"/>
          <w:i/>
          <w:color w:val="626A62"/>
          <w:spacing w:val="15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i/>
          <w:color w:val="626A62"/>
          <w:spacing w:val="15"/>
          <w:position w:val="0"/>
          <w:sz w:val="28"/>
          <w:shd w:fill="auto" w:val="clear"/>
        </w:rPr>
        <w:t xml:space="preserve">Casa, arquivo e poética do territorio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object w:dxaOrig="9469" w:dyaOrig="5737">
          <v:rect xmlns:o="urn:schemas-microsoft-com:office:office" xmlns:v="urn:schemas-microsoft-com:vml" id="rectole0000000000" style="width:473.450000pt;height:286.8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120" w:line="240"/>
        <w:ind w:right="0" w:left="0" w:firstLine="0"/>
        <w:jc w:val="right"/>
        <w:rPr>
          <w:rFonts w:ascii="Aptos" w:hAnsi="Aptos" w:cs="Aptos" w:eastAsia="Aptos"/>
          <w:i/>
          <w:color w:val="626A62"/>
          <w:spacing w:val="0"/>
          <w:position w:val="0"/>
          <w:sz w:val="18"/>
          <w:shd w:fill="auto" w:val="clear"/>
        </w:rPr>
      </w:pPr>
      <w:r>
        <w:rPr>
          <w:rFonts w:ascii="Aptos" w:hAnsi="Aptos" w:cs="Aptos" w:eastAsia="Aptos"/>
          <w:i/>
          <w:color w:val="626A62"/>
          <w:spacing w:val="0"/>
          <w:position w:val="0"/>
          <w:sz w:val="18"/>
          <w:shd w:fill="auto" w:val="clear"/>
        </w:rPr>
        <w:t xml:space="preserve">Casa natal e Casa-Museo de Uxío Novoneyra · Parada do Courel</w:t>
      </w:r>
    </w:p>
    <w:p>
      <w:pPr>
        <w:spacing w:before="200" w:after="160" w:line="276"/>
        <w:ind w:right="0" w:left="0" w:firstLine="0"/>
        <w:jc w:val="left"/>
        <w:rPr>
          <w:rFonts w:ascii="Aptos" w:hAnsi="Aptos" w:cs="Aptos" w:eastAsia="Aptos"/>
          <w:color w:val="344E41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344E41"/>
          <w:spacing w:val="0"/>
          <w:position w:val="0"/>
          <w:sz w:val="21"/>
          <w:shd w:fill="auto" w:val="clear"/>
        </w:rPr>
        <w:t xml:space="preserve">Un caderno para preparar a visita, mirar e escoitar durante o percorrido e transformar a experiencia en coñecemento.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b/>
          <w:color w:val="344E41"/>
          <w:spacing w:val="0"/>
          <w:position w:val="0"/>
          <w:sz w:val="18"/>
          <w:shd w:fill="auto" w:val="clear"/>
        </w:rPr>
      </w:pPr>
      <w:r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<w:drawing>
          <wp:inline distT="0" distB="0" distL="0" distR="0">
            <wp:extent cx="355600" cy="355600"/>
            <wp:effectExtent l="0" t="0" r="0" b="0"/>
            <wp:docPr id="9001" name="Logo da Fundación Uxío Novoneyra" descr="Logo da Fundación Uxío Novoneyr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 da Fundación Uxío Novoneyra"/>
                    <pic:cNvPicPr/>
                  </pic:nvPicPr>
                  <pic:blipFill>
                    <a:blip r:embed="funImg2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ptos" w:hAnsi="Aptos" w:cs="Aptos" w:eastAsia="Aptos"/>
          <w:b/>
          <w:color w:val="344E41"/>
          <w:spacing w:val="0"/>
          <w:position w:val="0"/>
          <w:sz w:val="18"/>
          <w:shd w:fill="auto" w:val="clear"/>
        </w:rPr>
        <w:t>  Autoría: equipo de actividades da Fundación Uxío Novoneyra (FUN).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keepNext w:val="true"/>
        <w:keepLines w:val="true"/>
        <w:spacing w:before="320" w:after="14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  <w:t xml:space="preserve">Guía da unidade</w:t>
      </w:r>
    </w:p>
    <w:tbl>
      <w:tblPr/>
      <w:tblGrid>
        <w:gridCol w:w="2376"/>
        <w:gridCol w:w="7200"/>
      </w:tblGrid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Destinatarios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1.º</w:t>
            </w:r>
            <w:r>
              <w:rPr>
                <w:rFonts w:ascii="Calibri" w:hAnsi="Calibri" w:cs="Calibri" w:eastAsia="Calibri"/>
                <w:color w:val="202820"/>
                <w:spacing w:val="0"/>
                <w:position w:val="0"/>
                <w:sz w:val="21"/>
                <w:shd w:fill="auto" w:val="clear"/>
              </w:rPr>
              <w:t xml:space="preserve">–2.</w:t>
            </w: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º de Bacharelato.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Materias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Lingua Galega e Literatura; Historia de España; Historia da Arte; Xeografía; Filosofía.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Duración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6 sesións de 50 min + visita guiada.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Pregunta de investigación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Como transforma Novoneyra unha casa particular nun lugar da memoria colectiva?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Produto final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Ensaio curatorial + peza sonora ou visual.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Metodoloxía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Investigación guiada, lectura próxima, traballo con fontes e diálogo socrático.</w:t>
            </w:r>
          </w:p>
        </w:tc>
      </w:tr>
    </w:tbl>
    <w:p>
      <w:pPr>
        <w:keepNext w:val="true"/>
        <w:keepLines w:val="true"/>
        <w:spacing w:before="320" w:after="14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  <w:t xml:space="preserve">Resultados de aprendizaxe</w:t>
      </w:r>
    </w:p>
    <w:p>
      <w:pPr>
        <w:numPr>
          <w:ilvl w:val="0"/>
          <w:numId w:val="24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Interpretar a relación entre espazo, voz lírica, memoria e identidade.</w:t>
      </w:r>
    </w:p>
    <w:p>
      <w:pPr>
        <w:numPr>
          <w:ilvl w:val="0"/>
          <w:numId w:val="24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Contextualizar a obra na posguerra, na renovación poética e nas redes culturais galegas.</w:t>
      </w:r>
    </w:p>
    <w:p>
      <w:pPr>
        <w:numPr>
          <w:ilvl w:val="0"/>
          <w:numId w:val="24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Ler criticamente unha casa-museo como construción curatorial.</w:t>
      </w:r>
    </w:p>
    <w:p>
      <w:pPr>
        <w:numPr>
          <w:ilvl w:val="0"/>
          <w:numId w:val="24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Contrastar fontes primarias e secundarias e citar con rigor.</w:t>
      </w:r>
    </w:p>
    <w:p>
      <w:pPr>
        <w:numPr>
          <w:ilvl w:val="0"/>
          <w:numId w:val="24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Producir unha interpretación propia, argumentada e formalmente coidada.</w:t>
      </w:r>
    </w:p>
    <w:tbl>
      <w:tblPr/>
      <w:tblGrid>
        <w:gridCol w:w="9648"/>
      </w:tblGrid>
      <w:tr>
        <w:trPr>
          <w:trHeight w:val="1" w:hRule="atLeast"/>
          <w:jc w:val="center"/>
        </w:trPr>
        <w:tc>
          <w:tcPr>
            <w:tcW w:w="964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344E41"/>
                <w:spacing w:val="0"/>
                <w:position w:val="0"/>
                <w:sz w:val="21"/>
                <w:shd w:fill="auto" w:val="clear"/>
              </w:rPr>
              <w:t xml:space="preserve">TESE DE PARTIDA  </w:t>
            </w: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Na Casa de Parada, o espazo íntimo, a comunidade e a Natureza non aparecen separados: cada obxecto pode funcionar como documento e como detonante poético.</w:t>
            </w:r>
          </w:p>
        </w:tc>
      </w:tr>
    </w:tbl>
    <w:p>
      <w:pPr>
        <w:spacing w:before="0" w:after="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keepNext w:val="true"/>
        <w:keepLines w:val="true"/>
        <w:spacing w:before="320" w:after="14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  <w:t xml:space="preserve">1 · Marco: do espazo vivido ao lugar de memoria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344E41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344E41"/>
          <w:spacing w:val="0"/>
          <w:position w:val="0"/>
          <w:sz w:val="21"/>
          <w:shd w:fill="auto" w:val="clear"/>
        </w:rPr>
        <w:t xml:space="preserve">Uxío Novoneyra (1930</w:t>
      </w:r>
      <w:r>
        <w:rPr>
          <w:rFonts w:ascii="Calibri" w:hAnsi="Calibri" w:cs="Calibri" w:eastAsia="Calibri"/>
          <w:color w:val="344E41"/>
          <w:spacing w:val="0"/>
          <w:position w:val="0"/>
          <w:sz w:val="21"/>
          <w:shd w:fill="auto" w:val="clear"/>
        </w:rPr>
        <w:t xml:space="preserve">–1999) fixo do Courel unha matriz verbal. A Casa da Fonte, en Parada, foi casa natal, espazo de retorno, n</w:t>
      </w:r>
      <w:r>
        <w:rPr>
          <w:rFonts w:ascii="Aptos" w:hAnsi="Aptos" w:cs="Aptos" w:eastAsia="Aptos"/>
          <w:color w:val="344E41"/>
          <w:spacing w:val="0"/>
          <w:position w:val="0"/>
          <w:sz w:val="21"/>
          <w:shd w:fill="auto" w:val="clear"/>
        </w:rPr>
        <w:t xml:space="preserve">úcleo familiar e lugar de encontro. Hoxe, como Casa-Museo, engade unha nova capa: selecciona e interpreta pegadas da vida campesiña, da creación e das redes culturais do poeta.</w:t>
      </w:r>
    </w:p>
    <w:p>
      <w:pPr>
        <w:keepNext w:val="true"/>
        <w:keepLines w:val="true"/>
        <w:spacing w:before="240" w:after="10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Cronoloxía mínima comentada</w:t>
      </w:r>
    </w:p>
    <w:tbl>
      <w:tblPr/>
      <w:tblGrid>
        <w:gridCol w:w="2376"/>
        <w:gridCol w:w="7200"/>
      </w:tblGrid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1930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Nacemento en Parada do Courel.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1952</w:t>
            </w:r>
            <w:r>
              <w:rPr>
                <w:rFonts w:ascii="Calibri" w:hAnsi="Calibri" w:cs="Calibri" w:eastAsia="Calibri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–1953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Escrita do núcleo inicial de Os Eidos durante unha estancia no Courel.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1955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Primeira publicación dos Os Eidos por Galaxia.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1962</w:t>
            </w:r>
            <w:r>
              <w:rPr>
                <w:rFonts w:ascii="Calibri" w:hAnsi="Calibri" w:cs="Calibri" w:eastAsia="Calibri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–1966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Segunda etapa madrileña; recitais, artes plásticas e contacto con Brais Pinto.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1966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Retorno ao Courel para coidar dos pais.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1967</w:t>
            </w:r>
            <w:r>
              <w:rPr>
                <w:rFonts w:ascii="Calibri" w:hAnsi="Calibri" w:cs="Calibri" w:eastAsia="Calibri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–1969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Xestación e publicación de Vietnam Canto: viraxe cara a unha palabra explicitamente política.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1973</w:t>
            </w:r>
            <w:r>
              <w:rPr>
                <w:rFonts w:ascii="Calibri" w:hAnsi="Calibri" w:cs="Calibri" w:eastAsia="Calibri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–1983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Vida familiar na Casa de Parada; casa aberta a amizades, artistas e poetas.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1983</w:t>
            </w:r>
            <w:r>
              <w:rPr>
                <w:rFonts w:ascii="Calibri" w:hAnsi="Calibri" w:cs="Calibri" w:eastAsia="Calibri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–1999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Residencia en Compostela, sen romper o vínculo coa casa e co Courel.</w:t>
            </w:r>
          </w:p>
        </w:tc>
      </w:tr>
    </w:tbl>
    <w:p>
      <w:pPr>
        <w:keepNext w:val="true"/>
        <w:keepLines w:val="true"/>
        <w:spacing w:before="240" w:after="10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Problema historiográfico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b/>
          <w:color w:val="588157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b/>
          <w:color w:val="588157"/>
          <w:spacing w:val="0"/>
          <w:position w:val="0"/>
          <w:sz w:val="21"/>
          <w:shd w:fill="auto" w:val="clear"/>
        </w:rPr>
        <w:t xml:space="preserve">Que riscos hai ao explicar unha obra unicamente desde a biografía do autor? E que se perde se ignoramos por completo o espazo vivido? Redacta unha hipótese de 120 palabras que evite ambos extremos.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keepNext w:val="true"/>
        <w:keepLines w:val="true"/>
        <w:spacing w:before="320" w:after="14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  <w:t xml:space="preserve">2 · Lectura próxima: a casa como forma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344E41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344E41"/>
          <w:spacing w:val="0"/>
          <w:position w:val="0"/>
          <w:sz w:val="21"/>
          <w:shd w:fill="auto" w:val="clear"/>
        </w:rPr>
        <w:t xml:space="preserve">Analizamos como o poema concentra arquitectura, perspectiva e apropiación afectiva.</w:t>
      </w:r>
    </w:p>
    <w:tbl>
      <w:tblPr/>
      <w:tblGrid>
        <w:gridCol w:w="9648"/>
      </w:tblGrid>
      <w:tr>
        <w:trPr>
          <w:trHeight w:val="1" w:hRule="atLeast"/>
          <w:jc w:val="center"/>
        </w:trPr>
        <w:tc>
          <w:tcPr>
            <w:tcW w:w="964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344E41"/>
                <w:spacing w:val="0"/>
                <w:position w:val="0"/>
                <w:sz w:val="21"/>
                <w:shd w:fill="auto" w:val="clear"/>
              </w:rPr>
              <w:t xml:space="preserve">TEXTO A  </w:t>
            </w: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“A casa de pedra e cal vella / </w:t>
            </w:r>
            <w:r>
              <w:rPr>
                <w:rFonts w:ascii="Arial" w:hAnsi="Arial" w:cs="Arial" w:eastAsia="Arial"/>
                <w:color w:val="202820"/>
                <w:spacing w:val="0"/>
                <w:position w:val="0"/>
                <w:sz w:val="21"/>
                <w:shd w:fill="auto" w:val="clear"/>
              </w:rPr>
              <w:t xml:space="preserve">—</w:t>
            </w: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solaina e ventanas prá serra</w:t>
            </w:r>
            <w:r>
              <w:rPr>
                <w:rFonts w:ascii="Calibri" w:hAnsi="Calibri" w:cs="Calibri" w:eastAsia="Calibri"/>
                <w:color w:val="202820"/>
                <w:spacing w:val="0"/>
                <w:position w:val="0"/>
                <w:sz w:val="21"/>
                <w:shd w:fill="auto" w:val="clear"/>
              </w:rPr>
              <w:t xml:space="preserve">— / feita fai cen anos a mi</w:t>
            </w: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ña maneira!”</w:t>
            </w:r>
          </w:p>
        </w:tc>
      </w:tr>
    </w:tbl>
    <w:p>
      <w:pPr>
        <w:spacing w:before="0" w:after="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keepNext w:val="true"/>
        <w:keepLines w:val="true"/>
        <w:spacing w:before="240" w:after="10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Cuestións de análise</w:t>
      </w:r>
    </w:p>
    <w:p>
      <w:pPr>
        <w:numPr>
          <w:ilvl w:val="0"/>
          <w:numId w:val="60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Sintaxe: que efecto produce o inciso entre raias?</w:t>
      </w:r>
    </w:p>
    <w:p>
      <w:pPr>
        <w:numPr>
          <w:ilvl w:val="0"/>
          <w:numId w:val="60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Deíxe: quen enuncia e desde onde parece mirar?</w:t>
      </w:r>
    </w:p>
    <w:p>
      <w:pPr>
        <w:numPr>
          <w:ilvl w:val="0"/>
          <w:numId w:val="60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Temporalidade: como conviven “vella”, “cen anos” e “a miña maneira”?</w:t>
      </w:r>
    </w:p>
    <w:p>
      <w:pPr>
        <w:numPr>
          <w:ilvl w:val="0"/>
          <w:numId w:val="60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Materia e horizonte: que relación se establece entre pedra/cal e serra?</w:t>
      </w:r>
    </w:p>
    <w:p>
      <w:pPr>
        <w:numPr>
          <w:ilvl w:val="0"/>
          <w:numId w:val="60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Lingua: explica a función estética das formas “ventanas” e “prá”, sen reducir a análise a unha corrección normativa.</w:t>
      </w:r>
    </w:p>
    <w:p>
      <w:pPr>
        <w:numPr>
          <w:ilvl w:val="0"/>
          <w:numId w:val="60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Propón unha tese interpretativa en dúas frases e apoia cada unha nunha marca textual.</w:t>
      </w:r>
    </w:p>
    <w:p>
      <w:pPr>
        <w:keepNext w:val="true"/>
        <w:keepLines w:val="true"/>
        <w:spacing w:before="240" w:after="10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Texto B · O lume como interlocutor</w:t>
      </w:r>
    </w:p>
    <w:tbl>
      <w:tblPr/>
      <w:tblGrid>
        <w:gridCol w:w="9648"/>
      </w:tblGrid>
      <w:tr>
        <w:trPr>
          <w:trHeight w:val="1" w:hRule="atLeast"/>
          <w:jc w:val="center"/>
        </w:trPr>
        <w:tc>
          <w:tcPr>
            <w:tcW w:w="964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344E41"/>
                <w:spacing w:val="0"/>
                <w:position w:val="0"/>
                <w:sz w:val="21"/>
                <w:shd w:fill="auto" w:val="clear"/>
              </w:rPr>
              <w:t xml:space="preserve">FRAGMENTO  </w:t>
            </w: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“Eu a ollar para o lume / i o lume a ollarme. / O lume sin queimarme / fai de min fume…”</w:t>
            </w:r>
          </w:p>
        </w:tc>
      </w:tr>
    </w:tbl>
    <w:p>
      <w:pPr>
        <w:spacing w:before="0" w:after="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b/>
          <w:color w:val="588157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b/>
          <w:color w:val="588157"/>
          <w:spacing w:val="0"/>
          <w:position w:val="0"/>
          <w:sz w:val="21"/>
          <w:shd w:fill="auto" w:val="clear"/>
        </w:rPr>
        <w:t xml:space="preserve">Compara os dous textos: interior/exterior; fixidez/movemento; materia/mirada; presenza/disolución. Redacta un parágrafo PEEL: punto, evidencia, explicación, ligazón.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keepNext w:val="true"/>
        <w:keepLines w:val="true"/>
        <w:spacing w:before="320" w:after="14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  <w:t xml:space="preserve">3 · A palabra tamén ocupa espazo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344E41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344E41"/>
          <w:spacing w:val="0"/>
          <w:position w:val="0"/>
          <w:sz w:val="21"/>
          <w:shd w:fill="auto" w:val="clear"/>
        </w:rPr>
        <w:t xml:space="preserve">Novoneyra foi un recitador excepcional e explorou a dimensión visual da escrita. Nos caligramas, o trazo non ilustra simplemente o texto: ritmo, intensidade e disposición fan pensamento.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object w:dxaOrig="8985" w:dyaOrig="4728">
          <v:rect xmlns:o="urn:schemas-microsoft-com:office:office" xmlns:v="urn:schemas-microsoft-com:vml" id="rectole0000000001" style="width:449.250000pt;height:236.40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0" w:after="120" w:line="240"/>
        <w:ind w:right="0" w:left="0" w:firstLine="0"/>
        <w:jc w:val="left"/>
        <w:rPr>
          <w:rFonts w:ascii="Aptos" w:hAnsi="Aptos" w:cs="Aptos" w:eastAsia="Aptos"/>
          <w:i/>
          <w:color w:val="626A62"/>
          <w:spacing w:val="0"/>
          <w:position w:val="0"/>
          <w:sz w:val="18"/>
          <w:shd w:fill="auto" w:val="clear"/>
        </w:rPr>
      </w:pPr>
      <w:r>
        <w:rPr>
          <w:rFonts w:ascii="Aptos" w:hAnsi="Aptos" w:cs="Aptos" w:eastAsia="Aptos"/>
          <w:i/>
          <w:color w:val="626A62"/>
          <w:spacing w:val="0"/>
          <w:position w:val="0"/>
          <w:sz w:val="18"/>
          <w:shd w:fill="auto" w:val="clear"/>
        </w:rPr>
        <w:t xml:space="preserve">Uxío Novoneyra en Madrid. Arquivo facilitado pola Fundación.</w:t>
      </w:r>
    </w:p>
    <w:p>
      <w:pPr>
        <w:keepNext w:val="true"/>
        <w:keepLines w:val="true"/>
        <w:spacing w:before="240" w:after="10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Laboratorio de voz</w:t>
      </w:r>
    </w:p>
    <w:p>
      <w:pPr>
        <w:numPr>
          <w:ilvl w:val="0"/>
          <w:numId w:val="71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Marca pausas, aceleracións, reiteracións e silencios nun fragmento escollido.</w:t>
      </w:r>
    </w:p>
    <w:p>
      <w:pPr>
        <w:numPr>
          <w:ilvl w:val="0"/>
          <w:numId w:val="71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Grava dúas versións: unha neutra e outra interpretativa.</w:t>
      </w:r>
    </w:p>
    <w:p>
      <w:pPr>
        <w:numPr>
          <w:ilvl w:val="0"/>
          <w:numId w:val="71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Escoita sen mirar o texto: que significado aparece só na voz?</w:t>
      </w:r>
    </w:p>
    <w:p>
      <w:pPr>
        <w:numPr>
          <w:ilvl w:val="0"/>
          <w:numId w:val="71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Mira o texto sen audio: que información achegan o branco e a disposición?</w:t>
      </w:r>
    </w:p>
    <w:p>
      <w:pPr>
        <w:numPr>
          <w:ilvl w:val="0"/>
          <w:numId w:val="71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Formula unha conclusión: “Neste poema, a voz/forma non é adorno porque…”</w:t>
      </w:r>
    </w:p>
    <w:tbl>
      <w:tblPr/>
      <w:tblGrid>
        <w:gridCol w:w="9648"/>
      </w:tblGrid>
      <w:tr>
        <w:trPr>
          <w:trHeight w:val="1" w:hRule="atLeast"/>
          <w:jc w:val="center"/>
        </w:trPr>
        <w:tc>
          <w:tcPr>
            <w:tcW w:w="964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344E41"/>
                <w:spacing w:val="0"/>
                <w:position w:val="0"/>
                <w:sz w:val="21"/>
                <w:shd w:fill="auto" w:val="clear"/>
              </w:rPr>
              <w:t xml:space="preserve">EXTENSIÓN  </w:t>
            </w: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Relaciona esta práctica coa poesía oral contemporánea, co spoken word ou coa poesía dixital. A comparación debe basearse nun procedemento formal, non só nun tema común.</w:t>
            </w:r>
          </w:p>
        </w:tc>
      </w:tr>
    </w:tbl>
    <w:p>
      <w:pPr>
        <w:spacing w:before="0" w:after="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keepNext w:val="true"/>
        <w:keepLines w:val="true"/>
        <w:spacing w:before="320" w:after="14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  <w:t xml:space="preserve">4 · A Casa-Museo como dispositivo curatorial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344E41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344E41"/>
          <w:spacing w:val="0"/>
          <w:position w:val="0"/>
          <w:sz w:val="21"/>
          <w:shd w:fill="auto" w:val="clear"/>
        </w:rPr>
        <w:t xml:space="preserve">Unha casa-museo produce sentido mediante presenza, ausencia, orde, percorrido e relato. A visita será tamén unha lectura crítica da museografía.</w:t>
      </w:r>
    </w:p>
    <w:p>
      <w:pPr>
        <w:keepNext w:val="true"/>
        <w:keepLines w:val="true"/>
        <w:spacing w:before="240" w:after="10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Antes: hipótese curatorial</w:t>
      </w:r>
    </w:p>
    <w:tbl>
      <w:tblPr/>
      <w:tblGrid>
        <w:gridCol w:w="2376"/>
        <w:gridCol w:w="7200"/>
      </w:tblGrid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Espazo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Que nos fai sentir ou facer a distribución da casa?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Obxecto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Que proba, suxire ou simboliza?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Relato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Quen fala? Que voces se citan?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Ausencia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Que non vemos ou non podemos saber?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Conexión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Como se enlaza coa obra, co Courel ou coa historia de Galicia?</w:t>
            </w:r>
          </w:p>
        </w:tc>
      </w:tr>
    </w:tbl>
    <w:p>
      <w:pPr>
        <w:keepNext w:val="true"/>
        <w:keepLines w:val="true"/>
        <w:spacing w:before="240" w:after="10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Equipos de investigación</w:t>
      </w:r>
    </w:p>
    <w:p>
      <w:pPr>
        <w:numPr>
          <w:ilvl w:val="0"/>
          <w:numId w:val="92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Arquitectura e economía doméstica: lareira, cociñas, cortes, aira, carpinteira, fragua, palleira.</w:t>
      </w:r>
    </w:p>
    <w:p>
      <w:pPr>
        <w:numPr>
          <w:ilvl w:val="0"/>
          <w:numId w:val="92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Arquivo e creación: libros, manuscritos, prensa de gravado, caligramas e obras plásticas.</w:t>
      </w:r>
    </w:p>
    <w:p>
      <w:pPr>
        <w:numPr>
          <w:ilvl w:val="0"/>
          <w:numId w:val="92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Sociabilidade: familia, veciñanza, María Mariño, Carlos Oroza, Brais Pinto e artistas.</w:t>
      </w:r>
    </w:p>
    <w:p>
      <w:pPr>
        <w:numPr>
          <w:ilvl w:val="0"/>
          <w:numId w:val="92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Memoria histórica: Guerra Civil, represión, refuxios, transmisión familiar e silencios.</w:t>
      </w:r>
    </w:p>
    <w:tbl>
      <w:tblPr/>
      <w:tblGrid>
        <w:gridCol w:w="9648"/>
      </w:tblGrid>
      <w:tr>
        <w:trPr>
          <w:trHeight w:val="1" w:hRule="atLeast"/>
          <w:jc w:val="center"/>
        </w:trPr>
        <w:tc>
          <w:tcPr>
            <w:tcW w:w="964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344E41"/>
                <w:spacing w:val="0"/>
                <w:position w:val="0"/>
                <w:sz w:val="21"/>
                <w:shd w:fill="auto" w:val="clear"/>
              </w:rPr>
              <w:t xml:space="preserve">ÉTICA DA FONTE  </w:t>
            </w: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Distingue sempre entre o que observas, o que explica a mediación da visita e o que ti infires. Unha inferencia debe presentarse como tal.</w:t>
            </w:r>
          </w:p>
        </w:tc>
      </w:tr>
    </w:tbl>
    <w:p>
      <w:pPr>
        <w:spacing w:before="0" w:after="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keepNext w:val="true"/>
        <w:keepLines w:val="true"/>
        <w:spacing w:before="320" w:after="14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  <w:t xml:space="preserve">5 · Ficha de análise durante a visita</w:t>
      </w:r>
    </w:p>
    <w:p>
      <w:pPr>
        <w:keepNext w:val="true"/>
        <w:keepLines w:val="true"/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b/>
          <w:color w:val="202820"/>
          <w:spacing w:val="0"/>
          <w:position w:val="0"/>
          <w:sz w:val="21"/>
          <w:shd w:fill="auto" w:val="clear"/>
        </w:rPr>
        <w:t xml:space="preserve">1. Localiza un espazo e describe como condiciona o movemento ou a mirada.</w:t>
      </w:r>
    </w:p>
    <w:p>
      <w:pPr>
        <w:keepLines w:val="true"/>
        <w:spacing w:before="0" w:after="8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________________________________________________________________________________</w:t>
      </w:r>
    </w:p>
    <w:p>
      <w:pPr>
        <w:keepLines w:val="true"/>
        <w:spacing w:before="0" w:after="8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________________________________________________________________________________</w:t>
      </w:r>
    </w:p>
    <w:p>
      <w:pPr>
        <w:keepNext w:val="true"/>
        <w:keepLines w:val="true"/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b/>
          <w:color w:val="202820"/>
          <w:spacing w:val="0"/>
          <w:position w:val="0"/>
          <w:sz w:val="21"/>
          <w:shd w:fill="auto" w:val="clear"/>
        </w:rPr>
        <w:t xml:space="preserve">2. Escolle un obxecto: datos observables, relato asociado e posible función simbólica.</w:t>
      </w:r>
    </w:p>
    <w:p>
      <w:pPr>
        <w:keepLines w:val="true"/>
        <w:spacing w:before="0" w:after="8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________________________________________________________________________________</w:t>
      </w:r>
    </w:p>
    <w:p>
      <w:pPr>
        <w:keepLines w:val="true"/>
        <w:spacing w:before="0" w:after="8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________________________________________________________________________________</w:t>
      </w:r>
    </w:p>
    <w:p>
      <w:pPr>
        <w:keepNext w:val="true"/>
        <w:keepLines w:val="true"/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b/>
          <w:color w:val="202820"/>
          <w:spacing w:val="0"/>
          <w:position w:val="0"/>
          <w:sz w:val="21"/>
          <w:shd w:fill="auto" w:val="clear"/>
        </w:rPr>
        <w:t xml:space="preserve">3. Rexistra unha cita breve da mediación oral e identifica o tema ao que se vincula.</w:t>
      </w:r>
    </w:p>
    <w:p>
      <w:pPr>
        <w:keepLines w:val="true"/>
        <w:spacing w:before="0" w:after="8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________________________________________________________________________________</w:t>
      </w:r>
    </w:p>
    <w:p>
      <w:pPr>
        <w:keepLines w:val="true"/>
        <w:spacing w:before="0" w:after="8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________________________________________________________________________________</w:t>
      </w:r>
    </w:p>
    <w:p>
      <w:pPr>
        <w:keepNext w:val="true"/>
        <w:keepLines w:val="true"/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b/>
          <w:color w:val="202820"/>
          <w:spacing w:val="0"/>
          <w:position w:val="0"/>
          <w:sz w:val="21"/>
          <w:shd w:fill="auto" w:val="clear"/>
        </w:rPr>
        <w:t xml:space="preserve">4. Detecta unha relación entre vida campesiña e creación artística.</w:t>
      </w:r>
    </w:p>
    <w:p>
      <w:pPr>
        <w:keepLines w:val="true"/>
        <w:spacing w:before="0" w:after="8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________________________________________________________________________________</w:t>
      </w:r>
    </w:p>
    <w:p>
      <w:pPr>
        <w:keepLines w:val="true"/>
        <w:spacing w:before="0" w:after="8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________________________________________________________________________________</w:t>
      </w:r>
    </w:p>
    <w:p>
      <w:pPr>
        <w:keepNext w:val="true"/>
        <w:keepLines w:val="true"/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b/>
          <w:color w:val="202820"/>
          <w:spacing w:val="0"/>
          <w:position w:val="0"/>
          <w:sz w:val="21"/>
          <w:shd w:fill="auto" w:val="clear"/>
        </w:rPr>
        <w:t xml:space="preserve">5. Anota unha ausencia ou pregunta que a exposición deixa aberta.</w:t>
      </w:r>
    </w:p>
    <w:p>
      <w:pPr>
        <w:keepLines w:val="true"/>
        <w:spacing w:before="0" w:after="8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________________________________________________________________________________</w:t>
      </w:r>
    </w:p>
    <w:p>
      <w:pPr>
        <w:keepLines w:val="true"/>
        <w:spacing w:before="0" w:after="8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________________________________________________________________________________</w:t>
      </w:r>
    </w:p>
    <w:p>
      <w:pPr>
        <w:keepNext w:val="true"/>
        <w:keepLines w:val="true"/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b/>
          <w:color w:val="202820"/>
          <w:spacing w:val="0"/>
          <w:position w:val="0"/>
          <w:sz w:val="21"/>
          <w:shd w:fill="auto" w:val="clear"/>
        </w:rPr>
        <w:t xml:space="preserve">6. Debuxa o itinerario seguido e sinala o punto de maior intensidade narrativa.</w:t>
      </w:r>
    </w:p>
    <w:p>
      <w:pPr>
        <w:keepLines w:val="true"/>
        <w:spacing w:before="0" w:after="8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________________________________________________________________________________</w:t>
      </w:r>
    </w:p>
    <w:p>
      <w:pPr>
        <w:keepLines w:val="true"/>
        <w:spacing w:before="0" w:after="8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________________________________________________________________________________</w:t>
      </w:r>
    </w:p>
    <w:p>
      <w:pPr>
        <w:keepNext w:val="true"/>
        <w:keepLines w:val="true"/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b/>
          <w:color w:val="202820"/>
          <w:spacing w:val="0"/>
          <w:position w:val="0"/>
          <w:sz w:val="21"/>
          <w:shd w:fill="auto" w:val="clear"/>
        </w:rPr>
        <w:t xml:space="preserve">7. Formula unha pregunta crítica, respectuosa e documentable.</w:t>
      </w:r>
    </w:p>
    <w:p>
      <w:pPr>
        <w:keepLines w:val="true"/>
        <w:spacing w:before="0" w:after="8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________________________________________________________________________________</w:t>
      </w:r>
    </w:p>
    <w:p>
      <w:pPr>
        <w:keepLines w:val="true"/>
        <w:spacing w:before="0" w:after="8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________________________________________________________________________________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keepNext w:val="true"/>
        <w:keepLines w:val="true"/>
        <w:spacing w:before="320" w:after="14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  <w:t xml:space="preserve">6 · Seminario posterior: interpretar sen mitificar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344E41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344E41"/>
          <w:spacing w:val="0"/>
          <w:position w:val="0"/>
          <w:sz w:val="21"/>
          <w:shd w:fill="auto" w:val="clear"/>
        </w:rPr>
        <w:t xml:space="preserve">A proximidade física aos lugares dun autor é poderosa, pero non substitúe a lectura. Contrastamos experiencia, texto e contexto.</w:t>
      </w:r>
    </w:p>
    <w:p>
      <w:pPr>
        <w:keepNext w:val="true"/>
        <w:keepLines w:val="true"/>
        <w:spacing w:before="240" w:after="10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Diálogo socrático</w:t>
      </w:r>
    </w:p>
    <w:p>
      <w:pPr>
        <w:numPr>
          <w:ilvl w:val="0"/>
          <w:numId w:val="117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A autenticidade dun obxecto garante unha interpretación verdadeira?</w:t>
      </w:r>
    </w:p>
    <w:p>
      <w:pPr>
        <w:numPr>
          <w:ilvl w:val="0"/>
          <w:numId w:val="117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A casa confirma o que xa sabiamos da poesía ou obríganos a revisalo?</w:t>
      </w:r>
    </w:p>
    <w:p>
      <w:pPr>
        <w:numPr>
          <w:ilvl w:val="0"/>
          <w:numId w:val="117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Que diferenza hai entre memoria familiar, memoria cultural e historia?</w:t>
      </w:r>
    </w:p>
    <w:p>
      <w:pPr>
        <w:numPr>
          <w:ilvl w:val="0"/>
          <w:numId w:val="117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Como evitar que “o poeta do Courel” se converta nunha etiqueta reductora?</w:t>
      </w:r>
    </w:p>
    <w:p>
      <w:pPr>
        <w:numPr>
          <w:ilvl w:val="0"/>
          <w:numId w:val="117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Que responsabilidade ten unha fundación ao converter unha casa privada nun ben público?</w:t>
      </w:r>
    </w:p>
    <w:p>
      <w:pPr>
        <w:keepNext w:val="true"/>
        <w:keepLines w:val="true"/>
        <w:spacing w:before="240" w:after="10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Matriz de evidencias</w:t>
      </w:r>
    </w:p>
    <w:tbl>
      <w:tblPr/>
      <w:tblGrid>
        <w:gridCol w:w="2376"/>
        <w:gridCol w:w="7200"/>
      </w:tblGrid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Afirmación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Escribe unha idea discutible, non un dato.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Evidencia textual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Verso, recurso formal ou pasaxe da obra.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Evidencia patrimonial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Espazo, obxecto ou relato documentado na visita.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Contexto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Dato histórico/literario relevante e fonte.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Límite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Que non demostra a evidencia?</w:t>
            </w:r>
          </w:p>
        </w:tc>
      </w:tr>
    </w:tbl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b/>
          <w:color w:val="588157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b/>
          <w:color w:val="588157"/>
          <w:spacing w:val="0"/>
          <w:position w:val="0"/>
          <w:sz w:val="21"/>
          <w:shd w:fill="auto" w:val="clear"/>
        </w:rPr>
        <w:t xml:space="preserve">Emprega a matriz para revisar a túa tese antes de redactar. Se unha columna está baleira, a afirmación aínda non está suficientemente sostida.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keepNext w:val="true"/>
        <w:keepLines w:val="true"/>
        <w:spacing w:before="320" w:after="14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  <w:t xml:space="preserve">7 · Produto final: ensaio curatorial expandido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344E41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344E41"/>
          <w:spacing w:val="0"/>
          <w:position w:val="0"/>
          <w:sz w:val="21"/>
          <w:shd w:fill="auto" w:val="clear"/>
        </w:rPr>
        <w:t xml:space="preserve">Crea unha microexposición dixital titulada “A Casa de Parada: un eido de memoria”. Combina rigor argumentativo cunha peza sonora ou visual propia.</w:t>
      </w:r>
    </w:p>
    <w:p>
      <w:pPr>
        <w:keepNext w:val="true"/>
        <w:keepLines w:val="true"/>
        <w:spacing w:before="240" w:after="10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Parte A · Ensaio curatorial (800</w:t>
      </w: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–</w:t>
      </w: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1.000 palabras)</w:t>
      </w:r>
    </w:p>
    <w:p>
      <w:pPr>
        <w:numPr>
          <w:ilvl w:val="0"/>
          <w:numId w:val="135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Título interpretativo e tese explícita.</w:t>
      </w:r>
    </w:p>
    <w:p>
      <w:pPr>
        <w:numPr>
          <w:ilvl w:val="0"/>
          <w:numId w:val="135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Tres núcleos argumentais: espazo, palabra e memoria.</w:t>
      </w:r>
    </w:p>
    <w:p>
      <w:pPr>
        <w:numPr>
          <w:ilvl w:val="0"/>
          <w:numId w:val="135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Dúas evidencias da visita e dous fragmentos literarios breves.</w:t>
      </w:r>
    </w:p>
    <w:p>
      <w:pPr>
        <w:numPr>
          <w:ilvl w:val="0"/>
          <w:numId w:val="135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Unha fonte contextual fiable, correctamente citada.</w:t>
      </w:r>
    </w:p>
    <w:p>
      <w:pPr>
        <w:numPr>
          <w:ilvl w:val="0"/>
          <w:numId w:val="135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Un contraargumento ou límite da interpretación.</w:t>
      </w:r>
    </w:p>
    <w:p>
      <w:pPr>
        <w:numPr>
          <w:ilvl w:val="0"/>
          <w:numId w:val="135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Conclusión que responda á pregunta de investigación.</w:t>
      </w:r>
    </w:p>
    <w:p>
      <w:pPr>
        <w:keepNext w:val="true"/>
        <w:keepLines w:val="true"/>
        <w:spacing w:before="240" w:after="10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Parte B · Peza expandida (2</w:t>
      </w: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–</w:t>
      </w: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3 min ou unha l</w:t>
      </w: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ámina)</w:t>
      </w:r>
    </w:p>
    <w:p>
      <w:pPr>
        <w:numPr>
          <w:ilvl w:val="0"/>
          <w:numId w:val="137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Peza sonora: recitado, paisaxe sonora e comentario crítico; ou</w:t>
      </w:r>
    </w:p>
    <w:p>
      <w:pPr>
        <w:numPr>
          <w:ilvl w:val="0"/>
          <w:numId w:val="137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Peza visual: caligrama, cartografía afectiva ou secuencia fotográfica comentada.</w:t>
      </w:r>
    </w:p>
    <w:p>
      <w:pPr>
        <w:keepNext w:val="true"/>
        <w:keepLines w:val="true"/>
        <w:spacing w:before="240" w:after="10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Cartela obrigatoria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b/>
          <w:color w:val="588157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b/>
          <w:color w:val="588157"/>
          <w:spacing w:val="0"/>
          <w:position w:val="0"/>
          <w:sz w:val="21"/>
          <w:shd w:fill="auto" w:val="clear"/>
        </w:rPr>
        <w:t xml:space="preserve">Inclúe autoría, título, data, técnica/formato, fontes, créditos de imaxe/son e un texto de 80</w:t>
      </w:r>
      <w:r>
        <w:rPr>
          <w:rFonts w:ascii="Calibri" w:hAnsi="Calibri" w:cs="Calibri" w:eastAsia="Calibri"/>
          <w:b/>
          <w:color w:val="588157"/>
          <w:spacing w:val="0"/>
          <w:position w:val="0"/>
          <w:sz w:val="21"/>
          <w:shd w:fill="auto" w:val="clear"/>
        </w:rPr>
        <w:t xml:space="preserve">–100 palabras que explique a relaci</w:t>
      </w:r>
      <w:r>
        <w:rPr>
          <w:rFonts w:ascii="Aptos" w:hAnsi="Aptos" w:cs="Aptos" w:eastAsia="Aptos"/>
          <w:b/>
          <w:color w:val="588157"/>
          <w:spacing w:val="0"/>
          <w:position w:val="0"/>
          <w:sz w:val="21"/>
          <w:shd w:fill="auto" w:val="clear"/>
        </w:rPr>
        <w:t xml:space="preserve">ón coa tese.</w:t>
      </w:r>
    </w:p>
    <w:tbl>
      <w:tblPr/>
      <w:tblGrid>
        <w:gridCol w:w="9648"/>
      </w:tblGrid>
      <w:tr>
        <w:trPr>
          <w:trHeight w:val="1" w:hRule="atLeast"/>
          <w:jc w:val="center"/>
        </w:trPr>
        <w:tc>
          <w:tcPr>
            <w:tcW w:w="964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344E41"/>
                <w:spacing w:val="0"/>
                <w:position w:val="0"/>
                <w:sz w:val="21"/>
                <w:shd w:fill="auto" w:val="clear"/>
              </w:rPr>
              <w:t xml:space="preserve">PRIVACIDADE E DEREITOS  </w:t>
            </w: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Non publiques voces, rostros nin materiais do museo sen autorización. Cita a autoría das imaxes e emprega só fragmentos literarios necesarios para a análise.</w:t>
            </w:r>
          </w:p>
        </w:tc>
      </w:tr>
    </w:tbl>
    <w:p>
      <w:pPr>
        <w:spacing w:before="0" w:after="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keepNext w:val="true"/>
        <w:keepLines w:val="true"/>
        <w:spacing w:before="320" w:after="14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  <w:t xml:space="preserve">Rúbrica do produto final</w:t>
      </w:r>
    </w:p>
    <w:tbl>
      <w:tblPr/>
      <w:tblGrid>
        <w:gridCol w:w="1976"/>
        <w:gridCol w:w="1976"/>
        <w:gridCol w:w="1976"/>
        <w:gridCol w:w="1976"/>
        <w:gridCol w:w="1976"/>
      </w:tblGrid>
      <w:tr>
        <w:trPr>
          <w:trHeight w:val="1" w:hRule="atLeast"/>
          <w:jc w:val="center"/>
        </w:trPr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344e4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21"/>
                <w:shd w:fill="auto" w:val="clear"/>
              </w:rPr>
              <w:t xml:space="preserve">Criterio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344e4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21"/>
                <w:shd w:fill="auto" w:val="clear"/>
              </w:rPr>
              <w:t xml:space="preserve">4 · Excelente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344e4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21"/>
                <w:shd w:fill="auto" w:val="clear"/>
              </w:rPr>
              <w:t xml:space="preserve">3 · Axeitado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344e4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21"/>
                <w:shd w:fill="auto" w:val="clear"/>
              </w:rPr>
              <w:t xml:space="preserve">2 · En proceso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344e41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FFFFFF"/>
                <w:spacing w:val="0"/>
                <w:position w:val="0"/>
                <w:sz w:val="21"/>
                <w:shd w:fill="auto" w:val="clear"/>
              </w:rPr>
              <w:t xml:space="preserve">1 · Inicial</w:t>
            </w:r>
          </w:p>
        </w:tc>
      </w:tr>
      <w:tr>
        <w:trPr>
          <w:trHeight w:val="1" w:hRule="atLeast"/>
          <w:jc w:val="center"/>
        </w:trPr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Tese e argumento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Tese complexa; progresión sólida e matizada.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Tese clara; argumento coherente.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Tese xeral; conexións irregulares.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Sen tese ou mera descrición.</w:t>
            </w:r>
          </w:p>
        </w:tc>
      </w:tr>
      <w:tr>
        <w:trPr>
          <w:trHeight w:val="1" w:hRule="atLeast"/>
          <w:jc w:val="center"/>
        </w:trPr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Lectura textual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Analiza forma e sentido con precisión.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Interpreta evidencias pertinentes.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Cita, pero analiza superficialmente.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Paráfrase ou cita sen función.</w:t>
            </w:r>
          </w:p>
        </w:tc>
      </w:tr>
      <w:tr>
        <w:trPr>
          <w:trHeight w:val="1" w:hRule="atLeast"/>
          <w:jc w:val="center"/>
        </w:trPr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Fonte patrimonial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Integra observación, mediación e límite.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Usa evidencias da visita con claridade.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Usa a visita de modo anecdótico.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Non incorpora evidencias verificables.</w:t>
            </w:r>
          </w:p>
        </w:tc>
      </w:tr>
      <w:tr>
        <w:trPr>
          <w:trHeight w:val="1" w:hRule="atLeast"/>
          <w:jc w:val="center"/>
        </w:trPr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Contexto/fontes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Contrasta fontes e cita con rigor.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Contextualiza e cita axeitadamente.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Contexto pouco integrado ou citas incompletas.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Datos sen fonte ou erros graves.</w:t>
            </w:r>
          </w:p>
        </w:tc>
      </w:tr>
      <w:tr>
        <w:trPr>
          <w:trHeight w:val="1" w:hRule="atLeast"/>
          <w:jc w:val="center"/>
        </w:trPr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Peza expandida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Forma e contido amplían a tese.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Peza coherente e coidada.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Peza ilustrativa, pouco integrada.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Peza incompleta ou desconectada.</w:t>
            </w:r>
          </w:p>
        </w:tc>
      </w:tr>
      <w:tr>
        <w:trPr>
          <w:trHeight w:val="1" w:hRule="atLeast"/>
          <w:jc w:val="center"/>
        </w:trPr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Lingua/edición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Galego preciso, voz propia e revisión excelente.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Texto claro con erros menores.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Expresión irregular; revisión insuficiente.</w:t>
            </w:r>
          </w:p>
        </w:tc>
        <w:tc>
          <w:tcPr>
            <w:tcW w:w="19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16"/>
                <w:shd w:fill="auto" w:val="clear"/>
              </w:rPr>
              <w:t xml:space="preserve">Erros dificultan a comprensión.</w:t>
            </w:r>
          </w:p>
        </w:tc>
      </w:tr>
    </w:tbl>
    <w:p>
      <w:pPr>
        <w:keepNext w:val="true"/>
        <w:keepLines w:val="true"/>
        <w:spacing w:before="320" w:after="14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  <w:t xml:space="preserve">Coavaliación en 5 minutos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Segoe UI Symbol" w:hAnsi="Segoe UI Symbol" w:cs="Segoe UI Symbol" w:eastAsia="Segoe UI Symbol"/>
          <w:color w:val="202820"/>
          <w:spacing w:val="0"/>
          <w:position w:val="0"/>
          <w:sz w:val="21"/>
          <w:shd w:fill="auto" w:val="clear"/>
        </w:rPr>
        <w:t xml:space="preserve">□</w:t>
      </w: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A tese que eu lin é…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Segoe UI Symbol" w:hAnsi="Segoe UI Symbol" w:cs="Segoe UI Symbol" w:eastAsia="Segoe UI Symbol"/>
          <w:color w:val="202820"/>
          <w:spacing w:val="0"/>
          <w:position w:val="0"/>
          <w:sz w:val="21"/>
          <w:shd w:fill="auto" w:val="clear"/>
        </w:rPr>
        <w:t xml:space="preserve">□</w:t>
      </w: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A evidencia máis convincente é… porque…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Segoe UI Symbol" w:hAnsi="Segoe UI Symbol" w:cs="Segoe UI Symbol" w:eastAsia="Segoe UI Symbol"/>
          <w:color w:val="202820"/>
          <w:spacing w:val="0"/>
          <w:position w:val="0"/>
          <w:sz w:val="21"/>
          <w:shd w:fill="auto" w:val="clear"/>
        </w:rPr>
        <w:t xml:space="preserve">□</w:t>
      </w: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Un salto lóxico ou punto feble é…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Segoe UI Symbol" w:hAnsi="Segoe UI Symbol" w:cs="Segoe UI Symbol" w:eastAsia="Segoe UI Symbol"/>
          <w:color w:val="202820"/>
          <w:spacing w:val="0"/>
          <w:position w:val="0"/>
          <w:sz w:val="21"/>
          <w:shd w:fill="auto" w:val="clear"/>
        </w:rPr>
        <w:t xml:space="preserve">□</w:t>
      </w: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Unha pregunta que pode mellorar o traballo é…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Segoe UI Symbol" w:hAnsi="Segoe UI Symbol" w:cs="Segoe UI Symbol" w:eastAsia="Segoe UI Symbol"/>
          <w:color w:val="202820"/>
          <w:spacing w:val="0"/>
          <w:position w:val="0"/>
          <w:sz w:val="21"/>
          <w:shd w:fill="auto" w:val="clear"/>
        </w:rPr>
        <w:t xml:space="preserve">□</w:t>
      </w: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Unha decisión formal especialmente eficaz é…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keepNext w:val="true"/>
        <w:keepLines w:val="true"/>
        <w:spacing w:before="320" w:after="14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  <w:t xml:space="preserve">8 · Dossier breve de fontes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344E41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344E41"/>
          <w:spacing w:val="0"/>
          <w:position w:val="0"/>
          <w:sz w:val="21"/>
          <w:shd w:fill="auto" w:val="clear"/>
        </w:rPr>
        <w:t xml:space="preserve">As fontes non teñen todas a mesma función. A ficha seguinte axuda a clasificalas antes de usalas.</w:t>
      </w:r>
    </w:p>
    <w:tbl>
      <w:tblPr/>
      <w:tblGrid>
        <w:gridCol w:w="2376"/>
        <w:gridCol w:w="7200"/>
      </w:tblGrid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Fonte primaria literaria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Poema, manuscrito, caligrama, gravación da voz do autor.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Fonte primaria patrimonial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Obxecto, espazo, fotografía histórica ou documento de arquivo.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Fonte oral mediada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Explicación da persoa guía ou testemuño; cómpre identificar data e contexto.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Fonte secundaria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Estudo, biografía, artigo crítico, catálogo ou recurso institucional.</w:t>
            </w:r>
          </w:p>
        </w:tc>
      </w:tr>
      <w:tr>
        <w:trPr>
          <w:trHeight w:val="1" w:hRule="atLeast"/>
          <w:jc w:val="center"/>
        </w:trPr>
        <w:tc>
          <w:tcPr>
            <w:tcW w:w="2376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202820"/>
                <w:spacing w:val="0"/>
                <w:position w:val="0"/>
                <w:sz w:val="21"/>
                <w:shd w:fill="auto" w:val="clear"/>
              </w:rPr>
              <w:t xml:space="preserve">Creación propia</w:t>
            </w:r>
          </w:p>
        </w:tc>
        <w:tc>
          <w:tcPr>
            <w:tcW w:w="72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Fotografía, mapa, recitado ou comentario realizado polo alumnado.</w:t>
            </w:r>
          </w:p>
        </w:tc>
      </w:tr>
    </w:tbl>
    <w:p>
      <w:pPr>
        <w:keepNext w:val="true"/>
        <w:keepLines w:val="true"/>
        <w:spacing w:before="240" w:after="10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Modelo de referencia mínima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AUTORÍA. “Título do texto/peza”. En Título da obra ou colección, ano, páxina/URL (consulta: data). Para a visita: Casa-Museo Uxío Novoneyra, explicación oral da visita guiada, Parada do Courel, data.</w:t>
      </w:r>
    </w:p>
    <w:p>
      <w:pPr>
        <w:spacing w:before="0" w:after="120" w:line="276"/>
        <w:ind w:right="0" w:left="0" w:firstLine="0"/>
        <w:jc w:val="center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object w:dxaOrig="5667" w:dyaOrig="3908">
          <v:rect xmlns:o="urn:schemas-microsoft-com:office:office" xmlns:v="urn:schemas-microsoft-com:vml" id="rectole0000000002" style="width:283.350000pt;height:195.400000pt" o:preferrelative="t" o:ole="">
            <o:lock v:ext="edit"/>
            <v:imagedata xmlns:r="http://schemas.openxmlformats.org/officeDocument/2006/relationships" r:id="docRId5" o:title=""/>
          </v:rect>
          <o:OLEObject xmlns:r="http://schemas.openxmlformats.org/officeDocument/2006/relationships" xmlns:o="urn:schemas-microsoft-com:office:office" Type="Embed" ProgID="StaticMetafile" DrawAspect="Content" ObjectID="0000000002" ShapeID="rectole0000000002" r:id="docRId4"/>
        </w:object>
      </w:r>
    </w:p>
    <w:p>
      <w:pPr>
        <w:spacing w:before="0" w:after="120" w:line="240"/>
        <w:ind w:right="0" w:left="0" w:firstLine="0"/>
        <w:jc w:val="left"/>
        <w:rPr>
          <w:rFonts w:ascii="Aptos" w:hAnsi="Aptos" w:cs="Aptos" w:eastAsia="Aptos"/>
          <w:i/>
          <w:color w:val="626A62"/>
          <w:spacing w:val="0"/>
          <w:position w:val="0"/>
          <w:sz w:val="18"/>
          <w:shd w:fill="auto" w:val="clear"/>
        </w:rPr>
      </w:pPr>
      <w:r>
        <w:rPr>
          <w:rFonts w:ascii="Aptos" w:hAnsi="Aptos" w:cs="Aptos" w:eastAsia="Aptos"/>
          <w:i/>
          <w:color w:val="626A62"/>
          <w:spacing w:val="0"/>
          <w:position w:val="0"/>
          <w:sz w:val="18"/>
          <w:shd w:fill="auto" w:val="clear"/>
        </w:rPr>
        <w:t xml:space="preserve">Uxío Novoneyra en Madrid, 1962. Arquivo facilitado pola Fundación Uxío Novoneyra.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spacing w:before="0" w:after="120"/>
        <w:jc w:val="left"/>
      </w:pPr>
      <w:r>
        <w:br w:type="page"/>
      </w:r>
      <w:r>
        <w:rPr>
          <w:color w:val="202820"/>
          <w:sz w:val="36"/>
          <w:szCs w:val="36"/>
          <w:b/>
        </w:rPr>
        <w:t>Imaxes do arquivo</w:t>
      </w:r>
    </w:p>
    <w:p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    <w:pPr>
        <w:spacing w:before="0" w:after="80"/>
        <w:jc w:val="center"/>
      </w:pPr>
      <w:r>
        <w:drawing>
          <wp:inline distT="0" distB="0" distL="0" distR="0">
            <wp:extent cx="2011680" cy="2920301"/>
            <wp:effectExtent l="0" t="0" r="0" b="0"/>
            <wp:docPr id="9101" name="Ceos e relevo do Courel" descr="Ceos e relevo do Coure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eos e relevo do Courel"/>
                    <pic:cNvPicPr/>
                  </pic:nvPicPr>
                  <pic:blipFill>
                    <a:blip r:embed="funImg21"/>
                    <a:stretch>
                      <a:fillRect/>
                    </a:stretch>
                  </pic:blipFill>
                  <pic:spPr>
                    <a:xfrm>
                      <a:off x="0" y="0"/>
                      <a:ext cx="2011680" cy="2920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00"/>
        <w:jc w:val="center"/>
      </w:pPr>
      <w:r>
        <w:rPr>
          <w:color w:val="657268"/>
          <w:sz w:val="16"/>
          <w:szCs w:val="16"/>
        </w:rPr>
        <w:t>Uxío Novoneyra na Casa da Fonte. Fotografía de Emilio Araúxo. Fonte: uxionovoneyra.com/casa-museo/arquivo/.</w:t>
      </w:r>
    </w:p>
    <w:p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    <w:pPr>
        <w:spacing w:before="0" w:after="80"/>
        <w:jc w:val="center"/>
      </w:pPr>
      <w:r>
        <w:drawing>
          <wp:inline distT="0" distB="0" distL="0" distR="0">
            <wp:extent cx="4206240" cy="2773101"/>
            <wp:effectExtent l="0" t="0" r="0" b="0"/>
            <wp:docPr id="9102" name="Souto do Courel" descr="Souto do Coure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outo do Courel"/>
                    <pic:cNvPicPr/>
                  </pic:nvPicPr>
                  <pic:blipFill>
                    <a:blip r:embed="funImg22"/>
                    <a:stretch>
                      <a:fillRect/>
                    </a:stretch>
                  </pic:blipFill>
                  <pic:spPr>
                    <a:xfrm>
                      <a:off x="0" y="0"/>
                      <a:ext cx="4206240" cy="2773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00"/>
        <w:jc w:val="center"/>
      </w:pPr>
      <w:r>
        <w:rPr>
          <w:color w:val="657268"/>
          <w:sz w:val="16"/>
          <w:szCs w:val="16"/>
        </w:rPr>
        <w:t>Uxío Novoneyra con Carlos Oroza, 1974. Fonte: uxionovoneyra.com/casa-museo/arquivo/.</w:t>
      </w:r>
    </w:p>
    <w:p>
      <w:pPr>
        <w:keepNext w:val="true"/>
        <w:keepLines w:val="true"/>
        <w:spacing w:before="320" w:after="14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  <w:t xml:space="preserve">Fontes e créditos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Este material elaborouse a partir do documento de traballo “A casa de Parada / Casa da Fonte” facilitado pola Fundación Uxío Novoneyra e do arquivo fotográfico achegado para esta edición.</w:t>
      </w:r>
    </w:p>
    <w:p>
      <w:pPr>
        <w:numPr>
          <w:ilvl w:val="0"/>
          <w:numId w:val="185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Fundación Uxío Novoneyra: información biográfica, patrimonial e obra do autor (uxionovoneyra.com).</w:t>
      </w:r>
    </w:p>
    <w:p>
      <w:pPr>
        <w:numPr>
          <w:ilvl w:val="0"/>
          <w:numId w:val="185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Decreto 156/2022, do 15 de setembro: ordenación e currículo da ESO en Galicia.</w:t>
      </w:r>
    </w:p>
    <w:p>
      <w:pPr>
        <w:numPr>
          <w:ilvl w:val="0"/>
          <w:numId w:val="185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Decreto 157/2022, do 15 de setembro: ordenación e currículo do Bacharelato en Galicia.</w:t>
      </w:r>
    </w:p>
    <w:p>
      <w:pPr>
        <w:numPr>
          <w:ilvl w:val="0"/>
          <w:numId w:val="185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Fotografía da Casa de Parada: Gelis López. Resto das imaxes: arquivo facilitado pola Fundación; identificación segundo os nomes dos ficheiros orixinais.</w:t>
      </w:r>
    </w:p>
    <w:tbl>
      <w:tblPr/>
      <w:tblGrid>
        <w:gridCol w:w="9648"/>
      </w:tblGrid>
      <w:tr>
        <w:trPr>
          <w:trHeight w:val="1" w:hRule="atLeast"/>
          <w:jc w:val="center"/>
        </w:trPr>
        <w:tc>
          <w:tcPr>
            <w:tcW w:w="9648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e9f0e6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120" w:line="276"/>
              <w:ind w:right="0" w:left="0" w:firstLine="0"/>
              <w:jc w:val="left"/>
              <w:rPr>
                <w:spacing w:val="0"/>
                <w:position w:val="0"/>
                <w:shd w:fill="auto" w:val="clear"/>
              </w:rPr>
            </w:pPr>
            <w:r>
              <w:rPr>
                <w:rFonts w:ascii="Aptos" w:hAnsi="Aptos" w:cs="Aptos" w:eastAsia="Aptos"/>
                <w:b/>
                <w:color w:val="344E41"/>
                <w:spacing w:val="0"/>
                <w:position w:val="0"/>
                <w:sz w:val="21"/>
                <w:shd w:fill="auto" w:val="clear"/>
              </w:rPr>
              <w:t xml:space="preserve">NOTA EDITORIAL  </w:t>
            </w:r>
            <w:r>
              <w:rPr>
                <w:rFonts w:ascii="Aptos" w:hAnsi="Aptos" w:cs="Aptos" w:eastAsia="Aptos"/>
                <w:color w:val="202820"/>
                <w:spacing w:val="0"/>
                <w:position w:val="0"/>
                <w:sz w:val="21"/>
                <w:shd w:fill="auto" w:val="clear"/>
              </w:rPr>
              <w:t xml:space="preserve">Os fragmentos literarios reprodúcense con finalidade educativa. Antes da publicación web, a Fundación poderá completar os créditos individuais e as condicións de reutilización das imaxes.</w:t>
            </w:r>
          </w:p>
        </w:tc>
      </w:tr>
    </w:tbl>
    <w:p>
      <w:pPr>
        <w:spacing w:before="0" w:after="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 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</w:p>
    <w:p>
      <w:pPr>
        <w:keepNext w:val="true"/>
        <w:keepLines w:val="true"/>
        <w:spacing w:before="320" w:after="14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36"/>
          <w:shd w:fill="auto" w:val="clear"/>
        </w:rPr>
        <w:t xml:space="preserve">Orientación docente e encaixe curricular</w:t>
      </w:r>
    </w:p>
    <w:p>
      <w:pPr>
        <w:spacing w:before="0" w:after="120" w:line="276"/>
        <w:ind w:right="0" w:left="0" w:firstLine="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A unidade concrétase especialmente na educación literaria, a comunicación oral e escrita, a alfabetización informacional, a reflexión sobre a lingua e a lectura crítica do patrimonio. Conecta co currículo galego vixente de Bacharelato (Decreto 157/2022) e facilita un enfoque interdisciplinario e competencial.</w:t>
      </w:r>
    </w:p>
    <w:p>
      <w:pPr>
        <w:keepNext w:val="true"/>
        <w:keepLines w:val="true"/>
        <w:spacing w:before="240" w:after="10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Plan de sesións</w:t>
      </w:r>
    </w:p>
    <w:p>
      <w:pPr>
        <w:numPr>
          <w:ilvl w:val="0"/>
          <w:numId w:val="194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1 · Marco, cronoloxía e pregunta de investigación.</w:t>
      </w:r>
    </w:p>
    <w:p>
      <w:pPr>
        <w:numPr>
          <w:ilvl w:val="0"/>
          <w:numId w:val="194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2 · Lectura próxima e hipótese interpretativa.</w:t>
      </w:r>
    </w:p>
    <w:p>
      <w:pPr>
        <w:numPr>
          <w:ilvl w:val="0"/>
          <w:numId w:val="194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3 · Voz, caligrafía e comparación medial.</w:t>
      </w:r>
    </w:p>
    <w:p>
      <w:pPr>
        <w:numPr>
          <w:ilvl w:val="0"/>
          <w:numId w:val="194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4 · Preparación da investigación museográfica.</w:t>
      </w:r>
    </w:p>
    <w:p>
      <w:pPr>
        <w:numPr>
          <w:ilvl w:val="0"/>
          <w:numId w:val="194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VISITA · Caderno de campo e preguntas por equipos.</w:t>
      </w:r>
    </w:p>
    <w:p>
      <w:pPr>
        <w:numPr>
          <w:ilvl w:val="0"/>
          <w:numId w:val="194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5 · Seminario socrático e matriz de evidencias.</w:t>
      </w:r>
    </w:p>
    <w:p>
      <w:pPr>
        <w:numPr>
          <w:ilvl w:val="0"/>
          <w:numId w:val="194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6 · Obradoiro de escrita, edición e coavaliación.</w:t>
      </w:r>
    </w:p>
    <w:p>
      <w:pPr>
        <w:keepNext w:val="true"/>
        <w:keepLines w:val="true"/>
        <w:spacing w:before="240" w:after="100" w:line="276"/>
        <w:ind w:right="0" w:left="0" w:firstLine="0"/>
        <w:jc w:val="left"/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</w:pPr>
      <w:r>
        <w:rPr>
          <w:rFonts w:ascii="Calibri" w:hAnsi="Calibri" w:cs="Calibri" w:eastAsia="Calibri"/>
          <w:b/>
          <w:color w:val="344E41"/>
          <w:spacing w:val="0"/>
          <w:position w:val="0"/>
          <w:sz w:val="27"/>
          <w:shd w:fill="auto" w:val="clear"/>
        </w:rPr>
        <w:t xml:space="preserve">Medidas de acceso e ampliación</w:t>
      </w:r>
    </w:p>
    <w:p>
      <w:pPr>
        <w:numPr>
          <w:ilvl w:val="0"/>
          <w:numId w:val="196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Anticipar vocabulario, plano e tarefas; facilitar versión dixital accesible.</w:t>
      </w:r>
    </w:p>
    <w:p>
      <w:pPr>
        <w:numPr>
          <w:ilvl w:val="0"/>
          <w:numId w:val="196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Ofrecer transcricións dos audios e permitir alternativas á gravación de voz.</w:t>
      </w:r>
    </w:p>
    <w:p>
      <w:pPr>
        <w:numPr>
          <w:ilvl w:val="0"/>
          <w:numId w:val="196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Dividir o ensaio en tese, parágrafos-guía e lista de verificación.</w:t>
      </w:r>
    </w:p>
    <w:p>
      <w:pPr>
        <w:numPr>
          <w:ilvl w:val="0"/>
          <w:numId w:val="196"/>
        </w:numPr>
        <w:tabs>
          <w:tab w:val="left" w:pos="360" w:leader="none"/>
        </w:tabs>
        <w:spacing w:before="0" w:after="60" w:line="276"/>
        <w:ind w:right="0" w:left="360" w:hanging="360"/>
        <w:jc w:val="left"/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</w:pPr>
      <w:r>
        <w:rPr>
          <w:rFonts w:ascii="Aptos" w:hAnsi="Aptos" w:cs="Aptos" w:eastAsia="Aptos"/>
          <w:color w:val="202820"/>
          <w:spacing w:val="0"/>
          <w:position w:val="0"/>
          <w:sz w:val="21"/>
          <w:shd w:fill="auto" w:val="clear"/>
        </w:rPr>
        <w:t xml:space="preserve">Ampliación: comparar a poética territorial de Novoneyra con Rosalía, Pondal, María Mariño ou unha voz contemporánea, explicitando diferenzas históricas e formais.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1">
    <w:lvl w:ilvl="0">
      <w:start w:val="1"/>
      <w:numFmt w:val="decimal"/>
      <w:lvlText w:val="%1."/>
    </w:lvl>
  </w:abstractNum>
  <w:abstractNum w:abstractNumId="7">
    <w:lvl w:ilvl="0">
      <w:start w:val="1"/>
      <w:numFmt w:val="decimal"/>
      <w:lvlText w:val="%1.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num w:numId="24">
    <w:abstractNumId w:val="42"/>
  </w:num>
  <w:num w:numId="60">
    <w:abstractNumId w:val="7"/>
  </w:num>
  <w:num w:numId="71">
    <w:abstractNumId w:val="1"/>
  </w:num>
  <w:num w:numId="92">
    <w:abstractNumId w:val="36"/>
  </w:num>
  <w:num w:numId="117">
    <w:abstractNumId w:val="30"/>
  </w:num>
  <w:num w:numId="135">
    <w:abstractNumId w:val="24"/>
  </w:num>
  <w:num w:numId="137">
    <w:abstractNumId w:val="18"/>
  </w:num>
  <w:num w:numId="185">
    <w:abstractNumId w:val="12"/>
  </w:num>
  <w:num w:numId="194">
    <w:abstractNumId w:val="6"/>
  </w:num>
  <w:num w:numId="196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'1.0' encoding='UTF-8' standalone='yes'?>
<Relationships xmlns="http://schemas.openxmlformats.org/package/2006/relationships"><Relationship Target="media/image0.wmf" Id="docRId1" Type="http://schemas.openxmlformats.org/officeDocument/2006/relationships/image"/><Relationship Target="media/image1.wmf" Id="docRId3" Type="http://schemas.openxmlformats.org/officeDocument/2006/relationships/image"/><Relationship Target="media/image2.wmf" Id="docRId5" Type="http://schemas.openxmlformats.org/officeDocument/2006/relationships/image"/><Relationship Target="styles.xml" Id="docRId7" Type="http://schemas.openxmlformats.org/officeDocument/2006/relationships/styles"/><Relationship Target="embeddings/oleObject0.bin" Id="docRId0" Type="http://schemas.openxmlformats.org/officeDocument/2006/relationships/oleObject"/><Relationship Target="embeddings/oleObject1.bin" Id="docRId2" Type="http://schemas.openxmlformats.org/officeDocument/2006/relationships/oleObject"/><Relationship Target="embeddings/oleObject2.bin" Id="docRId4" Type="http://schemas.openxmlformats.org/officeDocument/2006/relationships/oleObject"/><Relationship Target="numbering.xml" Id="docRId6" Type="http://schemas.openxmlformats.org/officeDocument/2006/relationships/numbering"/><Relationship Id="funImg20" Type="http://schemas.openxmlformats.org/officeDocument/2006/relationships/image" Target="media/fun_logo.jpg"/><Relationship Id="funImg21" Type="http://schemas.openxmlformats.org/officeDocument/2006/relationships/image" Target="media/galeria_1.jpg"/><Relationship Id="funImg22" Type="http://schemas.openxmlformats.org/officeDocument/2006/relationships/image" Target="media/galeria_2.jpg"/></Relationships>
</file>